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Aneks do umowy kredytowej - ile kosztuje?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klient zamierza zmienić warunki kredytu, to dość często wymagana będzie opłata za aneks. Na całe szczęście, bank nie zawsze nalicza takie koszty.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wielu przypadkach, warunki spłaty kredytu mieszkaniowego, które strony ustaliły podczas podpisywania umowy wcale nie są ostateczne. Przyczyny bywają różne. Przykładem jest sytuacja, w której klient musi skorzystać z wakacji kredytowych i potem przedłużyć okres spłaty. Takie bardziej poważne zmiany dotyczące „hipoteki” wymagają wykonania aneksu do umowy kredytowej. Dość często stanowi on dodatkowy koszt dla kredytobiorcy. W ramach naszej analizy sprawdzamy, ile trzeba zapłacić w poszczególnych bankach za aneksowanie umowy kredytu mieszkaniowego. Warto wiedzieć, że dłużnik korzystający z uprawnień przyznanych mu przez „Tarczę Antykryzysową 4.0” nie poniesie kosztów aneksu do umowy kredytowej.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Kosztów trzeba szukać w tabeli opłat i prowizji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Przygotowana przez nas tabela prezentuje koszty aneksowania umowy kredytu mieszkaniowego z poszczególnych wiodących banków. Warto podkreślić, że podawane stawki dotyczą aktualnie udzielanych kredytów mieszkaniowych. W przypadku umów sprzed kilku lub kilkunastu lat, mogą obowiązywać inne stawki opłat oraz prowizji związanych z aneksowaniem umowy.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Banki w swoich tabelach opłat i prowizji dość często podają osobne stawki dla aktualnie oferowanych kredytów, a także produktów wycofanych z oferty</w:t>
      </w:r>
      <w:r>
        <w:rPr>
          <w:rFonts w:ascii="calibri" w:hAnsi="calibri" w:eastAsia="calibri" w:cs="calibri"/>
          <w:sz w:val="24"/>
          <w:szCs w:val="24"/>
        </w:rPr>
        <w:t xml:space="preserve">” - mówi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daty udzielenia kredytu mieszkaniowego, koszty aneksowania umowy zwykle mają stały poziom. Chodzi o to, że są one określane w formie opłaty niezależnej od wartości kredytu. Załączona tabela sugeruje, że w przypadku aneksowania aktualnie oferowanych kredytów (związanego ze zmianą okresu spłaty), opłata zwykle wynosi 200 zł - 400 zł. Warto jednak pamiętać, że niektóre banki naliczają prowizje uzależnione od aktualnej wartości zadłużenia.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 stanowią kredyty obecnie oferowane przez BNP Paribas oraz PKO BP (zobacz prowizje w tabeli)</w:t>
      </w:r>
      <w:r>
        <w:rPr>
          <w:rFonts w:ascii="calibri" w:hAnsi="calibri" w:eastAsia="calibri" w:cs="calibri"/>
          <w:sz w:val="24"/>
          <w:szCs w:val="24"/>
        </w:rPr>
        <w:t xml:space="preserve">” - wymienia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chodzi o zmianę przedmiotu zabezpieczenia (nieruchomości obciążonej hipoteką), to stałe opłaty zwykle są nieco wyższe i mogą wynosić nawet 500 zł. Zmiana przedmiotu zabezpieczenia będzie konieczna jeśli klient chce przenieść hipotekę na inną nieruchomość.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Osoby próbujące wykonać taką zmianę w związku z kredytem „frankowym”, powinny zawsze sprawdzić, czy bank nie proponuje im zwolnienia ze standardowej opłaty</w:t>
      </w:r>
      <w:r>
        <w:rPr>
          <w:rFonts w:ascii="calibri" w:hAnsi="calibri" w:eastAsia="calibri" w:cs="calibri"/>
          <w:sz w:val="24"/>
          <w:szCs w:val="24"/>
        </w:rPr>
        <w:t xml:space="preserve">” - dodaje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Koronawirusowa zmiana nie oznacza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uzupełnienia, warto nawiązać do aktualnej sytuacji związanej z epidemią koronawirusa. Jak wiadomo, trwający kryzys gospodarczy skutkował problemami wielu kredytobiorców. Właśnie dlatego rząd postanowił uchwalić rozwiązania niezależne od propozycji dla klientów, które wcześnie przedstawił Związek Banków Polskich.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Rządowe wsparcie kredytobiorców zostało uregulowane ustawą z dnia 19 czerwca 2020 r. o dopłatach do oprocentowania kredytów bankowych udzielanych przedsiębiorcom dotkniętym skutkami COVID-19 oraz o uproszczonym postępowaniu o zatwierdzenie układu w związku z wystąpieniem COVID-19 (zwaną potocznie „Tarczą antykryzysową 4.0”)</w:t>
      </w:r>
      <w:r>
        <w:rPr>
          <w:rFonts w:ascii="calibri" w:hAnsi="calibri" w:eastAsia="calibri" w:cs="calibri"/>
          <w:sz w:val="24"/>
          <w:szCs w:val="24"/>
        </w:rPr>
        <w:t xml:space="preserve">” - podkreśla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z dnia 19 czerwca 2020 r. zapewnia preferencyjne zasady odroczenia spłaty rat tym kredytobiorcom mieszkaniowym, którzy utracili pracę na skutek epidemii. Wspomniane zasady są bardziej korzystne niż w przypadku tradycyjnych wakacji kredytowych. Niedawno uchwalone przepisy zabraniają bowiem bankowi naliczania kosztów odsetkowych w czasie przerwania spłaty (nie dłuższym niż 3 miesiące). Kredytodawca nie może też naliczać innych kosztów kredytu poza składkami ubezpieczeniowymi. Co więcej, czas rządowych wakacji kredytowych nie jest traktowany jako okres spłaty.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bank bez dodatkowych kosztów powinien przygotować nowy harmonogram spłaty i przesunąć terminy płatności kolejnych rat</w:t>
      </w:r>
      <w:r>
        <w:rPr>
          <w:rFonts w:ascii="calibri" w:hAnsi="calibri" w:eastAsia="calibri" w:cs="calibri"/>
          <w:sz w:val="24"/>
          <w:szCs w:val="24"/>
        </w:rPr>
        <w:t xml:space="preserve">” - podsumowuje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Leszek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2024-05-14T14:49:33+02:00</dcterms:created>
  <dcterms:modified xsi:type="dcterms:W3CDTF">2024-05-14T14:49:33+02:00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