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Koszty utrzymania mieszkań jak podatek od pustostanów?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Koszty utrzymania mieszkań rosną. To sprawia, że posiadanie pustego lokalu staje się coraz droższe. Jednocześnie spada tolerancja wspólnot i spółdzielni wobec nieogrzewanych mieszkań.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Mieszkaniowa drożyzna - tak często jest podsumowywana obecna sytuacja. Nie musi chodzić wcale o koszty wynajmu, zakupu mieszkań lub budowy domów. Dla osób, które już posiadają swoje lokum i nie zamierzają go zmieniać w najbliższym czasie, bardzo ważną kwestią stają się koszty utrzymania lokalu lub domu. Wystarczy wspomnieć, że w latach 2022 - 2024 samo ciepło sieciowe podrożało o około dwie trzecie. Wraz ze wzrostem kosztów ogrzewania spada tolerancja wspólnot i spółdzielni dotycząca utrzymywania wyziębionych pustostanów. Wyższe koszty utrzymania lokali nie są podatkiem od pustostanów, ale w pewnym zakresie mogą działać właśnie jak taki podatek.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  <w:u w:val="single"/>
        </w:rPr>
        <w:t xml:space="preserve">Artykuł w dużym skrócie: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Przez ostatnie lata znacząco wzrosły nie tylko koszty ogrzewania. Podrożał też chociażby prąd i wywóz odpadów. Pamiętajmy również o opłacie eksploatacyjnej na rzecz spółdzielni oraz zaliczkach płaconych wspólnocie mieszkaniowej.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Widzimy coraz mniejszą tolerancję w stosunku do nieogrzewanych mieszkań, które wyziębiają sąsiednie lokale. Wspólnoty mieszkaniowe i spółdzielnie wprowadzają między innymi minimalne opłaty za zużytą energię cieplną lub montują specjalne zawory i głowice termostatyczne.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Jeżeli chodzi o domy, to ich właściciele sami decydują o ogrzewaniu. Dłuższe utrzymywanie niskiej temperatury przyczynia się jednak do degradacji budynku, a z kolei doglądanie pustego domu bywa kłopotliwe.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Poniżej prezentujemy inne ciekawe aspekty wzrostu kosztów utrzymania mieszkań i domów, które są raczej rzadko poruszane przez media.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Przez ostatnie lata mocno zdrożało nie tylko ogrzewanie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wcześniej pojawiła się wzmianka o tym, że przez trzy lata (2022 r. - 2024 r.) średni koszt ogrzewania lokalu mieszkalnego z miejskiej sieci wzrósł o około dwie trzecie. Warto dodać, że był to skumulowany efekt rocznych wzrostów cen ciepła sieciowego podawanych przez GUS: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2022 r. - wzrost o 16,5%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2023 r. - wzrost o 33,3%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2024 r. - wzrost o 7,1%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chodzi o bieżący rok, to przez pierwsze trzy kwartały energia cieplna podrożała zaledwie o 0,7%. Pamiętajmy jednak, że system rządowych dopłat do cen ciepła przestał działać w połowie 2025 roku. Medialne doniesienia mówią o tym, że w najbliższym czasie około jedna czwarta odbiorców korzystających z lokalnych ciepłowni może doświadczyć podwyżek na poziomie do 20%. Rząd przewidział bon ciepłowniczy, ale z ograniczeniem dochodowym.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Podobny mechanizm kompensacyjny nie dotyczy np. opłat administracyjnych na rzecz wspólnoty lub spółdzielni oraz wpłat na fundusz remontowy, które są naliczane niezależnie od faktu użytkowania lokum</w:t>
      </w:r>
      <w:r>
        <w:rPr>
          <w:rFonts w:ascii="calibri" w:hAnsi="calibri" w:eastAsia="calibri" w:cs="calibri"/>
          <w:sz w:val="24"/>
          <w:szCs w:val="24"/>
        </w:rPr>
        <w:t xml:space="preserve">” - przypomina Magdalena Markiewicz, ekspertka rynku nieruchomości.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Coraz trudniej jest posiadać nieogrzewane mieszkanie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Niekorzystna dla właścicieli mieszkaniowych pustostanów jest również polityka wspólnot mieszkaniowych i spółdzielni. Przez lata, wraz ze wzrostem cen ciepła spadała bowiem tolerancja dla sąsiadów, którzy ogrzewają się kosztem właścicieli innych lokali (utrzymując w swoim „M” niską temperaturę). W tym kontekście warto przypomnieć chociażby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Orzeczenie Sądu Okręgowego w Łodzi z dnia 21 października 2014 r. (sygn. akt: II C 1386/13)</w:t>
      </w:r>
      <w:r>
        <w:rPr>
          <w:rFonts w:ascii="calibri" w:hAnsi="calibri" w:eastAsia="calibri" w:cs="calibri"/>
          <w:sz w:val="24"/>
          <w:szCs w:val="24"/>
        </w:rPr>
        <w:t xml:space="preserve">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Łódzki sąd oddalił pozew jednej z mieszkanek bloku, która nie godziła się, że musi zapłacić za minimum 10 GJ w sezonie grzewczym, plus koszty stałe. Można przypuszczać, że przez lata wzrosła popularność tego typu rozwiązań, czyli minimalnych kosztów ogrzewania</w:t>
      </w:r>
      <w:r>
        <w:rPr>
          <w:rFonts w:ascii="calibri" w:hAnsi="calibri" w:eastAsia="calibri" w:cs="calibri"/>
          <w:sz w:val="24"/>
          <w:szCs w:val="24"/>
        </w:rPr>
        <w:t xml:space="preserve">” - komentuje Magdalena Markiewicz, ekspertka rynku nieruchomości.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Trzeba zwrócić uwagę, że wspólnoty mieszkaniowe oraz spółdzielnie także w inny sposób walczą z problemem niedogrzania niektórych lokali (szczególnie pustostanów). Przykładem jest obowiązkowe montowanie w mieszkaniach zaworów termostatycznych, w przypadku których najniższa nastawa temperatury to 16°C.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Nawiasem mówiąc, jest to zgodne z paragrafem 134 ustęp 6 Rozporządzenia Ministra Infrastruktury z dnia 12 kwietnia 2002 r. w sprawie warunków technicznych, jakim powinny odpowiadać budynki i ich usytuowanie. Co ciekawe, wspomniany przepis obowiązuje już od 2002 roku, ale dopiero teraz w niektórych budynkach wymieniane/montowane są zawory i głowice termostatyczne</w:t>
      </w:r>
      <w:r>
        <w:rPr>
          <w:rFonts w:ascii="calibri" w:hAnsi="calibri" w:eastAsia="calibri" w:cs="calibri"/>
          <w:sz w:val="24"/>
          <w:szCs w:val="24"/>
        </w:rPr>
        <w:t xml:space="preserve">” - mówi Magdalena Markiewicz, ekspertka rynku nieruchomości.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Są też inne rozwiązania. Mianowicie, nierzadko w regulaminach rozliczania kosztów ciepła pojawia się zobowiązanie właścicieli do utrzymywania w mieszkaniu minimalnej temperatury - zwykle 16 stopni Celsjusza. Pamiętajmy również,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Rozporządzenie Ministra Klimatu i Środowiska z dnia 7 grudnia 2021 r. (Dz.U. 2021 poz. 2273)</w:t>
      </w:r>
      <w:r>
        <w:rPr>
          <w:rFonts w:ascii="calibri" w:hAnsi="calibri" w:eastAsia="calibri" w:cs="calibri"/>
          <w:sz w:val="24"/>
          <w:szCs w:val="24"/>
        </w:rPr>
        <w:t xml:space="preserve"> przy rozliczeniu w oparciu o podzielniki kosztów nakazuje wyznaczenie minimalnego kosztu zmiennego zakupu ciepła z uwzględnieniem konieczności utrzymania minimalnej temperatury w mieszkaniu.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Wszystkie powyższe rozwiązania oczywiście nie mają nic wspólnego z typowym podatkiem od pustostanów, ale ich efektem jest zwiększanie kosztów, które ponosi właściciel pustego i niewynajętego lokalu</w:t>
      </w:r>
      <w:r>
        <w:rPr>
          <w:rFonts w:ascii="calibri" w:hAnsi="calibri" w:eastAsia="calibri" w:cs="calibri"/>
          <w:sz w:val="24"/>
          <w:szCs w:val="24"/>
        </w:rPr>
        <w:t xml:space="preserve">” - zaznacza Magdalena Markiewicz, ekspertka rynku nieruchomości.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przypadku domów sytuacja może być nieco inna 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chodzi o puste domy jednorodzinne, które w Polsce nie stanowią rzadkości, to kwestia ogrzewania pustostanów wygląda nieco inaczej. Nie tylko dlatego, że wynajęcie domu w polskich warunkach bywa trudne, a rynek najmu takich budynków jest mały (zwłaszcza poza większymi miastami). W przypadku pustego domu, każdy właściciel oczywiście sam podejmuje decyzje o utrzymywanej w środku temperaturze. Jej utrzymanie wiąże się nie tylko z kosztami, ale również nierzadko z koniecznością stałego doglądania instalacji grzewczej.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Alternatywą może być niestety stopniowa degradacja i utrata wartości nieogrzewanego domu</w:t>
      </w:r>
      <w:r>
        <w:rPr>
          <w:rFonts w:ascii="calibri" w:hAnsi="calibri" w:eastAsia="calibri" w:cs="calibri"/>
          <w:sz w:val="24"/>
          <w:szCs w:val="24"/>
        </w:rPr>
        <w:t xml:space="preserve">” - podsumowuje Magdalena Markiewicz, ekspertka rynku nieruchomości.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Magdalena Markiewicz, ekspertka rynku nieruchomości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2026-10-09T02:26:50+02:00</dcterms:created>
  <dcterms:modified xsi:type="dcterms:W3CDTF">2026-10-09T02:26:50+02:00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