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Aneks do umowy kredytowej - ile kosztuje?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Jeżeli klient zamierza zmienić warunki kredytu, to dość często wymagana będzie opłata za aneks. Na całe szczęście, bank nie zawsze nalicza takie koszty.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wielu przypadkach, warunki spłaty kredytu mieszkaniowego, które strony ustaliły podczas podpisywania umowy wcale nie są ostateczne. Przyczyny bywają różne. Przykładem jest sytuacja, w której klient musi skorzystać z wakacji kredytowych i potem przedłużyć okres spłaty. Takie bardziej poważne zmiany dotyczące „hipoteki” wymagają wykonania aneksu do umowy kredytowej. Dość często stanowi on dodatkowy koszt dla kredytobiorcy. W ramach naszej analizy sprawdzamy, ile trzeba zapłacić w poszczególnych bankach za aneksowanie umowy kredytu mieszkaniowego. Warto wiedzieć, że dłużnik korzystający z uprawnień przyznanych mu przez „Tarczę Antykryzysową 4.0” nie poniesie kosztów aneksu do umowy kredytowej.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Kosztów trzeba szukać w tabeli opłat i prowizji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Przygotowana przez nas tabela prezentuje koszty aneksowania umowy kredytu mieszkaniowego z poszczególnych wiodących banków. Warto podkreślić, że podawane stawki dotyczą aktualnie udzielanych kredytów mieszkaniowych. W przypadku umów sprzed kilku lub kilkunastu lat, mogą obowiązywać inne stawki opłat oraz prowizji związanych z aneksowaniem umowy.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Banki w swoich tabelach opłat i prowizji dość często podają osobne stawki dla aktualnie oferowanych kredytów, a także produktów wycofanych z oferty</w:t>
      </w:r>
      <w:r>
        <w:rPr>
          <w:rFonts w:ascii="calibri" w:hAnsi="calibri" w:eastAsia="calibri" w:cs="calibri"/>
          <w:sz w:val="24"/>
          <w:szCs w:val="24"/>
        </w:rPr>
        <w:t xml:space="preserve">” - mówi Leszek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daty udzielenia kredytu mieszkaniowego, koszty aneksowania umowy zwykle mają stały poziom. Chodzi o to, że są one określane w formie opłaty niezależnej od wartości kredytu. Załączona tabela sugeruje, że w przypadku aneksowania aktualnie oferowanych kredytów (związanego ze zmianą okresu spłaty), opłata zwykle wynosi 200 zł - 400 zł. Warto jednak pamiętać, że niektóre banki naliczają prowizje uzależnione od aktualnej wartości zadłużenia.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Przykład stanowią kredyty obecnie oferowane przez BNP Paribas oraz PKO BP (zobacz prowizje w tabeli)</w:t>
      </w:r>
      <w:r>
        <w:rPr>
          <w:rFonts w:ascii="calibri" w:hAnsi="calibri" w:eastAsia="calibri" w:cs="calibri"/>
          <w:sz w:val="24"/>
          <w:szCs w:val="24"/>
        </w:rPr>
        <w:t xml:space="preserve">” - wymienia Leszek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natomiast chodzi o zmianę przedmiotu zabezpieczenia (nieruchomości obciążonej hipoteką), to stałe opłaty zwykle są nieco wyższe i mogą wynosić nawet 500 zł. Zmiana przedmiotu zabezpieczenia będzie konieczna jeśli klient chce przenieść hipotekę na inną nieruchomość.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Osoby próbujące wykonać taką zmianę w związku z kredytem „frankowym”, powinny zawsze sprawdzić, czy bank nie proponuje im zwolnienia ze standardowej opłaty</w:t>
      </w:r>
      <w:r>
        <w:rPr>
          <w:rFonts w:ascii="calibri" w:hAnsi="calibri" w:eastAsia="calibri" w:cs="calibri"/>
          <w:sz w:val="24"/>
          <w:szCs w:val="24"/>
        </w:rPr>
        <w:t xml:space="preserve">” - dodaje Leszek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Koronawirusowa zmiana nie oznacza kosztów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uzupełnienia, warto nawiązać do aktualnej sytuacji związanej z epidemią koronawirusa. Jak wiadomo, trwający kryzys gospodarczy skutkował problemami wielu kredytobiorców. Właśnie dlatego rząd postanowił uchwalić rozwiązania niezależne od propozycji dla klientów, które wcześnie przedstawił Związek Banków Polskich.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Rządowe wsparcie kredytobiorców zostało uregulowane ustawą z dnia 19 czerwca 2020 r. o dopłatach do oprocentowania kredytów bankowych udzielanych przedsiębiorcom dotkniętym skutkami COVID-19 oraz o uproszczonym postępowaniu o zatwierdzenie układu w związku z wystąpieniem COVID-19 (zwaną potocznie „Tarczą antykryzysową 4.0”)</w:t>
      </w:r>
      <w:r>
        <w:rPr>
          <w:rFonts w:ascii="calibri" w:hAnsi="calibri" w:eastAsia="calibri" w:cs="calibri"/>
          <w:sz w:val="24"/>
          <w:szCs w:val="24"/>
        </w:rPr>
        <w:t xml:space="preserve">” - podkreśla Leszek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Ustawa z dnia 19 czerwca 2020 r. zapewnia preferencyjne zasady odroczenia spłaty rat tym kredytobiorcom mieszkaniowym, którzy utracili pracę na skutek epidemii. Wspomniane zasady są bardziej korzystne niż w przypadku tradycyjnych wakacji kredytowych. Niedawno uchwalone przepisy zabraniają bowiem bankowi naliczania kosztów odsetkowych w czasie przerwania spłaty (nie dłuższym niż 3 miesiące). Kredytodawca nie może też naliczać innych kosztów kredytu poza składkami ubezpieczeniowymi. Co więcej, czas rządowych wakacji kredytowych nie jest traktowany jako okres spłaty.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Właśnie dlatego bank bez dodatkowych kosztów powinien przygotować nowy harmonogram spłaty i przesunąć terminy płatności kolejnych rat</w:t>
      </w:r>
      <w:r>
        <w:rPr>
          <w:rFonts w:ascii="calibri" w:hAnsi="calibri" w:eastAsia="calibri" w:cs="calibri"/>
          <w:sz w:val="24"/>
          <w:szCs w:val="24"/>
        </w:rPr>
        <w:t xml:space="preserve">” - podsumowuje Leszek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Leszek Markiewicz, ekspert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NieruchomosciSzybko.pl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eruchomosciszybk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2026-11-04T05:23:48+01:00</dcterms:created>
  <dcterms:modified xsi:type="dcterms:W3CDTF">2026-11-04T05:23:48+01:00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