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Aneks do umowy kredytowej - ile kosztuje?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klient zamierza zmienić warunki kredytu, to dość często wymagana będzie opłata za aneks. Na całe szczęście, bank nie zawsze nalicza takie koszty.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wielu przypadkach, warunki spłaty kredytu mieszkaniowego, które strony ustaliły podczas podpisywania umowy wcale nie są ostateczne. Przyczyny bywają różne. Przykładem jest sytuacja, w której klient musi skorzystać z wakacji kredytowych i potem przedłużyć okres spłaty. Takie bardziej poważne zmiany dotyczące „hipoteki” wymagają wykonania aneksu do umowy kredytowej. Dość często stanowi on dodatkowy koszt dla kredytobiorcy. W ramach naszej analizy sprawdzamy, ile trzeba zapłacić w poszczególnych bankach za aneksowanie umowy kredytu mieszkaniowego. Warto wiedzieć, że dłużnik korzystający z uprawnień przyznanych mu przez „Tarczę Antykryzysową 4.0” nie poniesie kosztów aneksu do umowy kredytowej.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Kosztów trzeba szukać w tabeli opłat i prowizji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Przygotowana przez nas tabela prezentuje koszty aneksowania umowy kredytu mieszkaniowego z poszczególnych wiodących banków. Warto podkreślić, że podawane stawki dotyczą aktualnie udzielanych kredytów mieszkaniowych. W przypadku umów sprzed kilku lub kilkunastu lat, mogą obowiązywać inne stawki opłat oraz prowizji związanych z aneksowaniem umowy.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Banki w swoich tabelach opłat i prowizji dość często podają osobne stawki dla aktualnie oferowanych kredytów, a także produktów wycofanych z oferty</w:t>
      </w:r>
      <w:r>
        <w:rPr>
          <w:rFonts w:ascii="calibri" w:hAnsi="calibri" w:eastAsia="calibri" w:cs="calibri"/>
          <w:sz w:val="24"/>
          <w:szCs w:val="24"/>
        </w:rPr>
        <w:t xml:space="preserve">” - mówi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daty udzielenia kredytu mieszkaniowego, koszty aneksowania umowy zwykle mają stały poziom. Chodzi o to, że są one określane w formie opłaty niezależnej od wartości kredytu. Załączona tabela sugeruje, że w przypadku aneksowania aktualnie oferowanych kredytów (związanego ze zmianą okresu spłaty), opłata zwykle wynosi 200 zł - 400 zł. Warto jednak pamiętać, że niektóre banki naliczają prowizje uzależnione od aktualnej wartości zadłużenia.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Przykład stanowią kredyty obecnie oferowane przez BNP Paribas oraz PKO BP (zobacz prowizje w tabeli)</w:t>
      </w:r>
      <w:r>
        <w:rPr>
          <w:rFonts w:ascii="calibri" w:hAnsi="calibri" w:eastAsia="calibri" w:cs="calibri"/>
          <w:sz w:val="24"/>
          <w:szCs w:val="24"/>
        </w:rPr>
        <w:t xml:space="preserve">” - wymienia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natomiast chodzi o zmianę przedmiotu zabezpieczenia (nieruchomości obciążonej hipoteką), to stałe opłaty zwykle są nieco wyższe i mogą wynosić nawet 500 zł. Zmiana przedmiotu zabezpieczenia będzie konieczna jeśli klient chce przenieść hipotekę na inną nieruchomość.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Osoby próbujące wykonać taką zmianę w związku z kredytem „frankowym”, powinny zawsze sprawdzić, czy bank nie proponuje im zwolnienia ze standardowej opłaty</w:t>
      </w:r>
      <w:r>
        <w:rPr>
          <w:rFonts w:ascii="calibri" w:hAnsi="calibri" w:eastAsia="calibri" w:cs="calibri"/>
          <w:sz w:val="24"/>
          <w:szCs w:val="24"/>
        </w:rPr>
        <w:t xml:space="preserve">” - dodaje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Koronawirusowa zmiana nie oznacza kosztów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uzupełnienia, warto nawiązać do aktualnej sytuacji związanej z epidemią koronawirusa. Jak wiadomo, trwający kryzys gospodarczy skutkował problemami wielu kredytobiorców. Właśnie dlatego rząd postanowił uchwalić rozwiązania niezależne od propozycji dla klientów, które wcześnie przedstawił Związek Banków Polskich.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Rządowe wsparcie kredytobiorców zostało uregulowane ustawą z dnia 19 czerwca 2020 r. o dopłatach do oprocentowania kredytów bankowych udzielanych przedsiębiorcom dotkniętym skutkami COVID-19 oraz o uproszczonym postępowaniu o zatwierdzenie układu w związku z wystąpieniem COVID-19 (zwaną potocznie „Tarczą antykryzysową 4.0”)</w:t>
      </w:r>
      <w:r>
        <w:rPr>
          <w:rFonts w:ascii="calibri" w:hAnsi="calibri" w:eastAsia="calibri" w:cs="calibri"/>
          <w:sz w:val="24"/>
          <w:szCs w:val="24"/>
        </w:rPr>
        <w:t xml:space="preserve">” - podkreśla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z dnia 19 czerwca 2020 r. zapewnia preferencyjne zasady odroczenia spłaty rat tym kredytobiorcom mieszkaniowym, którzy utracili pracę na skutek epidemii. Wspomniane zasady są bardziej korzystne niż w przypadku tradycyjnych wakacji kredytowych. Niedawno uchwalone przepisy zabraniają bowiem bankowi naliczania kosztów odsetkowych w czasie przerwania spłaty (nie dłuższym niż 3 miesiące). Kredytodawca nie może też naliczać innych kosztów kredytu poza składkami ubezpieczeniowymi. Co więcej, czas rządowych wakacji kredytowych nie jest traktowany jako okres spłaty.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dlatego bank bez dodatkowych kosztów powinien przygotować nowy harmonogram spłaty i przesunąć terminy płatności kolejnych rat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2026-09-16T18:59:10+02:00</dcterms:created>
  <dcterms:modified xsi:type="dcterms:W3CDTF">2026-09-16T18:59:10+02:00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